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0264" w14:textId="078C781F" w:rsidR="00F10699" w:rsidRPr="0069320D" w:rsidRDefault="00822052" w:rsidP="00A56BB7">
      <w:pPr>
        <w:tabs>
          <w:tab w:val="left" w:pos="567"/>
        </w:tabs>
        <w:spacing w:afterLines="50" w:after="120" w:line="240" w:lineRule="auto"/>
        <w:jc w:val="right"/>
        <w:rPr>
          <w:rFonts w:ascii="Merriweather" w:hAnsi="Merriweather" w:cs="Times New Roman"/>
          <w:color w:val="002060"/>
        </w:rPr>
      </w:pPr>
      <w:r>
        <w:rPr>
          <w:rFonts w:ascii="Merriweather" w:hAnsi="Merriweather" w:cs="Times New Roman"/>
          <w:color w:val="002060"/>
        </w:rPr>
        <w:t>26</w:t>
      </w:r>
      <w:r w:rsidR="00F10699" w:rsidRPr="0069320D">
        <w:rPr>
          <w:rFonts w:ascii="Merriweather" w:hAnsi="Merriweather" w:cs="Times New Roman"/>
          <w:color w:val="002060"/>
        </w:rPr>
        <w:t xml:space="preserve"> </w:t>
      </w:r>
      <w:r w:rsidR="00F10699">
        <w:rPr>
          <w:rFonts w:ascii="Merriweather" w:hAnsi="Merriweather" w:cs="Times New Roman"/>
          <w:color w:val="002060"/>
        </w:rPr>
        <w:t xml:space="preserve">de </w:t>
      </w:r>
      <w:r w:rsidR="00475E98">
        <w:rPr>
          <w:rFonts w:ascii="Merriweather" w:hAnsi="Merriweather" w:cs="Times New Roman"/>
          <w:color w:val="002060"/>
        </w:rPr>
        <w:t>junio</w:t>
      </w:r>
      <w:r w:rsidR="00A56BB7">
        <w:rPr>
          <w:rFonts w:ascii="Merriweather" w:hAnsi="Merriweather" w:cs="Times New Roman"/>
          <w:color w:val="002060"/>
        </w:rPr>
        <w:t xml:space="preserve"> </w:t>
      </w:r>
      <w:r w:rsidR="00F10699" w:rsidRPr="0069320D">
        <w:rPr>
          <w:rFonts w:ascii="Merriweather" w:hAnsi="Merriweather" w:cs="Times New Roman"/>
          <w:color w:val="002060"/>
        </w:rPr>
        <w:t>de 202</w:t>
      </w:r>
      <w:r w:rsidR="00F10699">
        <w:rPr>
          <w:rFonts w:ascii="Merriweather" w:hAnsi="Merriweather" w:cs="Times New Roman"/>
          <w:color w:val="002060"/>
        </w:rPr>
        <w:t>4</w:t>
      </w:r>
    </w:p>
    <w:p w14:paraId="10A77439" w14:textId="77777777" w:rsidR="00F10699" w:rsidRPr="0069320D" w:rsidRDefault="00F10699" w:rsidP="00A56BB7">
      <w:pPr>
        <w:spacing w:afterLines="50" w:after="120" w:line="240" w:lineRule="auto"/>
        <w:jc w:val="center"/>
        <w:rPr>
          <w:rFonts w:ascii="Merriweather" w:hAnsi="Merriweather" w:cs="Times New Roman"/>
          <w:b/>
          <w:bCs/>
          <w:color w:val="002060"/>
        </w:rPr>
      </w:pPr>
    </w:p>
    <w:p w14:paraId="46706059" w14:textId="4B92055A" w:rsidR="00BB1E71" w:rsidRPr="00D71966" w:rsidRDefault="00F10699" w:rsidP="00A56BB7">
      <w:pPr>
        <w:spacing w:afterLines="50" w:after="120" w:line="240" w:lineRule="auto"/>
        <w:jc w:val="center"/>
        <w:rPr>
          <w:rFonts w:ascii="Merriweather" w:hAnsi="Merriweather" w:cs="Times New Roman"/>
          <w:b/>
          <w:bCs/>
          <w:color w:val="002060"/>
          <w:sz w:val="24"/>
          <w:szCs w:val="24"/>
        </w:rPr>
      </w:pPr>
      <w:r w:rsidRPr="00D71966">
        <w:rPr>
          <w:rFonts w:ascii="Merriweather" w:hAnsi="Merriweather" w:cs="Times New Roman"/>
          <w:b/>
          <w:bCs/>
          <w:color w:val="002060"/>
          <w:sz w:val="24"/>
          <w:szCs w:val="24"/>
        </w:rPr>
        <w:t xml:space="preserve">Client </w:t>
      </w:r>
      <w:proofErr w:type="spellStart"/>
      <w:r w:rsidRPr="00D71966">
        <w:rPr>
          <w:rFonts w:ascii="Merriweather" w:hAnsi="Merriweather" w:cs="Times New Roman"/>
          <w:b/>
          <w:bCs/>
          <w:color w:val="002060"/>
          <w:sz w:val="24"/>
          <w:szCs w:val="24"/>
        </w:rPr>
        <w:t>Alert</w:t>
      </w:r>
      <w:proofErr w:type="spellEnd"/>
    </w:p>
    <w:p w14:paraId="39E78ECA" w14:textId="77777777" w:rsidR="00A56BB7" w:rsidRPr="00A56BB7" w:rsidRDefault="00A56BB7" w:rsidP="00A56BB7">
      <w:pPr>
        <w:spacing w:afterLines="50" w:after="120" w:line="240" w:lineRule="auto"/>
        <w:jc w:val="center"/>
        <w:rPr>
          <w:rFonts w:ascii="Merriweather" w:hAnsi="Merriweather" w:cs="Times New Roman"/>
          <w:b/>
          <w:bCs/>
          <w:color w:val="002060"/>
        </w:rPr>
      </w:pPr>
    </w:p>
    <w:p w14:paraId="04C99ACE" w14:textId="422409E4" w:rsidR="00BB1E71" w:rsidRPr="00052018" w:rsidRDefault="00BB1E71" w:rsidP="00A56BB7">
      <w:pPr>
        <w:spacing w:afterLines="50" w:after="120" w:line="24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052018">
        <w:rPr>
          <w:rFonts w:ascii="Times New Roman" w:hAnsi="Times New Roman" w:cs="Times New Roman"/>
          <w:b/>
          <w:smallCaps/>
          <w:sz w:val="24"/>
          <w:szCs w:val="24"/>
          <w:lang w:val="es"/>
        </w:rPr>
        <w:t xml:space="preserve"> </w:t>
      </w:r>
      <w:r w:rsidR="00F0667C" w:rsidRPr="00052018">
        <w:rPr>
          <w:rFonts w:ascii="Times New Roman" w:hAnsi="Times New Roman" w:cs="Times New Roman"/>
          <w:b/>
          <w:smallCaps/>
          <w:sz w:val="24"/>
          <w:szCs w:val="24"/>
          <w:lang w:val="es"/>
        </w:rPr>
        <w:t>La Comisión Nacional Bancaria y de Valores</w:t>
      </w:r>
      <w:r w:rsidR="00C36F87" w:rsidRPr="00052018">
        <w:rPr>
          <w:rFonts w:ascii="Times New Roman" w:hAnsi="Times New Roman" w:cs="Times New Roman"/>
          <w:smallCaps/>
          <w:sz w:val="24"/>
          <w:szCs w:val="24"/>
          <w:lang w:val="es"/>
        </w:rPr>
        <w:t xml:space="preserve"> </w:t>
      </w:r>
      <w:r w:rsidR="009C71FB" w:rsidRPr="00052018">
        <w:rPr>
          <w:rFonts w:ascii="Times New Roman" w:hAnsi="Times New Roman" w:cs="Times New Roman"/>
          <w:b/>
          <w:smallCaps/>
          <w:sz w:val="24"/>
          <w:szCs w:val="24"/>
          <w:lang w:val="es"/>
        </w:rPr>
        <w:t xml:space="preserve">prepara modificaciones a las </w:t>
      </w:r>
      <w:bookmarkStart w:id="0" w:name="_Hlk170287402"/>
      <w:r w:rsidR="009C71FB" w:rsidRPr="00052018">
        <w:rPr>
          <w:rFonts w:ascii="Times New Roman" w:hAnsi="Times New Roman" w:cs="Times New Roman"/>
          <w:b/>
          <w:smallCaps/>
          <w:sz w:val="24"/>
          <w:szCs w:val="24"/>
          <w:lang w:val="es"/>
        </w:rPr>
        <w:t xml:space="preserve">Disposiciones de carácter general </w:t>
      </w:r>
      <w:r w:rsidR="00822052">
        <w:rPr>
          <w:rFonts w:ascii="Times New Roman" w:hAnsi="Times New Roman" w:cs="Times New Roman"/>
          <w:b/>
          <w:smallCaps/>
          <w:sz w:val="24"/>
          <w:szCs w:val="24"/>
          <w:lang w:val="es"/>
        </w:rPr>
        <w:t>aplicables a las Instituciones de Tecnología Financiera</w:t>
      </w:r>
      <w:bookmarkEnd w:id="0"/>
      <w:r w:rsidR="0089050E">
        <w:rPr>
          <w:rFonts w:ascii="Times New Roman" w:hAnsi="Times New Roman" w:cs="Times New Roman"/>
          <w:b/>
          <w:smallCaps/>
          <w:sz w:val="24"/>
          <w:szCs w:val="24"/>
          <w:lang w:val="es"/>
        </w:rPr>
        <w:t>.</w:t>
      </w:r>
    </w:p>
    <w:p w14:paraId="0AFD13D7" w14:textId="354B620A" w:rsidR="00A25554" w:rsidRPr="00A25554" w:rsidRDefault="00A25554" w:rsidP="00A56BB7">
      <w:pPr>
        <w:pStyle w:val="Prrafodelista"/>
        <w:tabs>
          <w:tab w:val="left" w:pos="7938"/>
        </w:tabs>
        <w:spacing w:afterLines="50" w:after="120" w:line="240" w:lineRule="auto"/>
        <w:ind w:left="1134" w:right="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FB7CAC" w14:textId="0294D1FA" w:rsidR="00393B81" w:rsidRPr="00F04842" w:rsidRDefault="00F72073" w:rsidP="001D58BD">
      <w:pPr>
        <w:pStyle w:val="Prrafodelista"/>
        <w:numPr>
          <w:ilvl w:val="0"/>
          <w:numId w:val="4"/>
        </w:numPr>
        <w:tabs>
          <w:tab w:val="left" w:pos="7938"/>
        </w:tabs>
        <w:spacing w:afterLines="50" w:after="120" w:line="240" w:lineRule="auto"/>
        <w:ind w:left="1134" w:right="900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agrega la obligación para las Instituciones de Fondos de Pago Electrónico (“</w:t>
      </w:r>
      <w:r w:rsidRPr="00F87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IFPE</w:t>
      </w:r>
      <w:r>
        <w:rPr>
          <w:rFonts w:ascii="Times New Roman" w:hAnsi="Times New Roman" w:cs="Times New Roman"/>
          <w:sz w:val="24"/>
          <w:szCs w:val="24"/>
        </w:rPr>
        <w:t xml:space="preserve">”) de enviar </w:t>
      </w:r>
      <w:r w:rsidR="00205EB1">
        <w:rPr>
          <w:rFonts w:ascii="Times New Roman" w:hAnsi="Times New Roman" w:cs="Times New Roman"/>
          <w:sz w:val="24"/>
          <w:szCs w:val="24"/>
        </w:rPr>
        <w:t>un reporte</w:t>
      </w:r>
      <w:r>
        <w:rPr>
          <w:rFonts w:ascii="Times New Roman" w:hAnsi="Times New Roman" w:cs="Times New Roman"/>
          <w:sz w:val="24"/>
          <w:szCs w:val="24"/>
        </w:rPr>
        <w:t xml:space="preserve"> mensual</w:t>
      </w:r>
      <w:r w:rsidR="00205EB1">
        <w:rPr>
          <w:rFonts w:ascii="Times New Roman" w:hAnsi="Times New Roman" w:cs="Times New Roman"/>
          <w:sz w:val="24"/>
          <w:szCs w:val="24"/>
        </w:rPr>
        <w:t xml:space="preserve"> con </w:t>
      </w:r>
      <w:r w:rsidR="00334107">
        <w:rPr>
          <w:rFonts w:ascii="Times New Roman" w:hAnsi="Times New Roman" w:cs="Times New Roman"/>
          <w:sz w:val="24"/>
          <w:szCs w:val="24"/>
        </w:rPr>
        <w:t>información relativa a sus clientes y operaciones</w:t>
      </w:r>
      <w:r w:rsidR="00401E26">
        <w:rPr>
          <w:rFonts w:ascii="Times New Roman" w:hAnsi="Times New Roman" w:cs="Times New Roman"/>
          <w:sz w:val="24"/>
          <w:szCs w:val="24"/>
        </w:rPr>
        <w:t xml:space="preserve"> </w:t>
      </w:r>
      <w:r w:rsidR="00D53780">
        <w:rPr>
          <w:rFonts w:ascii="Times New Roman" w:hAnsi="Times New Roman" w:cs="Times New Roman"/>
          <w:sz w:val="24"/>
          <w:szCs w:val="24"/>
        </w:rPr>
        <w:t>a la Comisión Nacional Bancaria y de Valores</w:t>
      </w:r>
      <w:r w:rsidR="00F87134">
        <w:rPr>
          <w:rFonts w:ascii="Times New Roman" w:hAnsi="Times New Roman" w:cs="Times New Roman"/>
          <w:sz w:val="24"/>
          <w:szCs w:val="24"/>
        </w:rPr>
        <w:t xml:space="preserve"> (“</w:t>
      </w:r>
      <w:r w:rsidR="00F87134" w:rsidRPr="00F8713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CNBV</w:t>
      </w:r>
      <w:r w:rsidR="00F87134">
        <w:rPr>
          <w:rFonts w:ascii="Times New Roman" w:hAnsi="Times New Roman" w:cs="Times New Roman"/>
          <w:sz w:val="24"/>
          <w:szCs w:val="24"/>
        </w:rPr>
        <w:t>”)</w:t>
      </w:r>
      <w:r w:rsidR="00883F2C">
        <w:rPr>
          <w:rFonts w:ascii="Times New Roman" w:hAnsi="Times New Roman" w:cs="Times New Roman"/>
          <w:sz w:val="24"/>
          <w:szCs w:val="24"/>
        </w:rPr>
        <w:t>.</w:t>
      </w:r>
    </w:p>
    <w:p w14:paraId="3F2B37A6" w14:textId="2A42D980" w:rsidR="00F04842" w:rsidRPr="00F04842" w:rsidRDefault="00F04842" w:rsidP="00F04842">
      <w:pPr>
        <w:pStyle w:val="Prrafodelista"/>
        <w:tabs>
          <w:tab w:val="left" w:pos="7938"/>
        </w:tabs>
        <w:spacing w:afterLines="50" w:after="120" w:line="240" w:lineRule="auto"/>
        <w:ind w:left="1134" w:right="9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4EE32" w14:textId="34963C5D" w:rsidR="00F04842" w:rsidRPr="001D58BD" w:rsidRDefault="00F04842" w:rsidP="001D58BD">
      <w:pPr>
        <w:pStyle w:val="Prrafodelista"/>
        <w:numPr>
          <w:ilvl w:val="0"/>
          <w:numId w:val="4"/>
        </w:numPr>
        <w:tabs>
          <w:tab w:val="left" w:pos="7938"/>
        </w:tabs>
        <w:spacing w:afterLines="50" w:after="120" w:line="240" w:lineRule="auto"/>
        <w:ind w:left="1134" w:right="900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atender dicha obligación, las IFPE </w:t>
      </w:r>
      <w:r w:rsidR="00F424D4">
        <w:rPr>
          <w:rFonts w:ascii="Times New Roman" w:hAnsi="Times New Roman" w:cs="Times New Roman"/>
          <w:sz w:val="24"/>
          <w:szCs w:val="24"/>
        </w:rPr>
        <w:t>tendrán</w:t>
      </w:r>
      <w:r>
        <w:rPr>
          <w:rFonts w:ascii="Times New Roman" w:hAnsi="Times New Roman" w:cs="Times New Roman"/>
          <w:sz w:val="24"/>
          <w:szCs w:val="24"/>
        </w:rPr>
        <w:t xml:space="preserve"> hasta el 1 de enero de 2025 para realizar las acciones necesarias</w:t>
      </w:r>
      <w:r w:rsidR="00F87134">
        <w:rPr>
          <w:rFonts w:ascii="Times New Roman" w:hAnsi="Times New Roman" w:cs="Times New Roman"/>
          <w:sz w:val="24"/>
          <w:szCs w:val="24"/>
        </w:rPr>
        <w:t xml:space="preserve"> con la finalidad de</w:t>
      </w:r>
      <w:r w:rsidR="00205EB1">
        <w:rPr>
          <w:rFonts w:ascii="Times New Roman" w:hAnsi="Times New Roman" w:cs="Times New Roman"/>
          <w:sz w:val="24"/>
          <w:szCs w:val="24"/>
        </w:rPr>
        <w:t xml:space="preserve"> estar en posibilidades de</w:t>
      </w:r>
      <w:r>
        <w:rPr>
          <w:rFonts w:ascii="Times New Roman" w:hAnsi="Times New Roman" w:cs="Times New Roman"/>
          <w:sz w:val="24"/>
          <w:szCs w:val="24"/>
        </w:rPr>
        <w:t xml:space="preserve"> presentar </w:t>
      </w:r>
      <w:r w:rsidR="00F424D4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 reporte.</w:t>
      </w:r>
    </w:p>
    <w:p w14:paraId="00F56A3B" w14:textId="77777777" w:rsidR="002F2057" w:rsidRPr="002F2DD4" w:rsidRDefault="002F2057" w:rsidP="00A56BB7">
      <w:pPr>
        <w:spacing w:afterLines="50"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9C1D3E" w14:textId="5A212329" w:rsidR="00BB1E71" w:rsidRPr="002F2DD4" w:rsidRDefault="00D047C1" w:rsidP="00422AD5">
      <w:pPr>
        <w:pStyle w:val="Prrafodelista"/>
        <w:numPr>
          <w:ilvl w:val="0"/>
          <w:numId w:val="3"/>
        </w:numPr>
        <w:spacing w:afterLines="5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s"/>
        </w:rPr>
        <w:t xml:space="preserve">Contenido del </w:t>
      </w:r>
      <w:r w:rsidR="00DE124B">
        <w:rPr>
          <w:rFonts w:ascii="Times New Roman" w:hAnsi="Times New Roman" w:cs="Times New Roman"/>
          <w:b/>
          <w:sz w:val="24"/>
          <w:szCs w:val="24"/>
          <w:lang w:val="es"/>
        </w:rPr>
        <w:t>Anteproyecto</w:t>
      </w:r>
    </w:p>
    <w:p w14:paraId="7310DE8C" w14:textId="1729EEAA" w:rsidR="00422AD5" w:rsidRDefault="00D71966" w:rsidP="00832EE5">
      <w:pPr>
        <w:spacing w:afterLines="100" w:after="24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71966">
        <w:rPr>
          <w:rFonts w:ascii="Times New Roman" w:hAnsi="Times New Roman" w:cs="Times New Roman"/>
          <w:sz w:val="24"/>
          <w:szCs w:val="24"/>
        </w:rPr>
        <w:t xml:space="preserve">El </w:t>
      </w:r>
      <w:r w:rsidR="00D85938">
        <w:rPr>
          <w:rFonts w:ascii="Times New Roman" w:hAnsi="Times New Roman" w:cs="Times New Roman"/>
          <w:sz w:val="24"/>
          <w:szCs w:val="24"/>
        </w:rPr>
        <w:t>25</w:t>
      </w:r>
      <w:r w:rsidRPr="00D71966">
        <w:rPr>
          <w:rFonts w:ascii="Times New Roman" w:hAnsi="Times New Roman" w:cs="Times New Roman"/>
          <w:sz w:val="24"/>
          <w:szCs w:val="24"/>
        </w:rPr>
        <w:t xml:space="preserve"> de </w:t>
      </w:r>
      <w:r w:rsidR="00D85938">
        <w:rPr>
          <w:rFonts w:ascii="Times New Roman" w:hAnsi="Times New Roman" w:cs="Times New Roman"/>
          <w:sz w:val="24"/>
          <w:szCs w:val="24"/>
        </w:rPr>
        <w:t>junio</w:t>
      </w:r>
      <w:r w:rsidRPr="00D71966">
        <w:rPr>
          <w:rFonts w:ascii="Times New Roman" w:hAnsi="Times New Roman" w:cs="Times New Roman"/>
          <w:sz w:val="24"/>
          <w:szCs w:val="24"/>
        </w:rPr>
        <w:t xml:space="preserve"> de 2024, la </w:t>
      </w:r>
      <w:r w:rsidR="00F87134">
        <w:rPr>
          <w:rFonts w:ascii="Times New Roman" w:hAnsi="Times New Roman" w:cs="Times New Roman"/>
          <w:sz w:val="24"/>
          <w:szCs w:val="24"/>
        </w:rPr>
        <w:t>CNBV</w:t>
      </w:r>
      <w:r w:rsidRPr="00D71966">
        <w:rPr>
          <w:rFonts w:ascii="Times New Roman" w:hAnsi="Times New Roman" w:cs="Times New Roman"/>
          <w:sz w:val="24"/>
          <w:szCs w:val="24"/>
        </w:rPr>
        <w:t xml:space="preserve"> envió a la Comisión Nacional para la Mejora Regulatoria (“</w:t>
      </w:r>
      <w:r w:rsidRPr="00593898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CONAMER</w:t>
      </w:r>
      <w:r w:rsidRPr="00D71966">
        <w:rPr>
          <w:rFonts w:ascii="Times New Roman" w:hAnsi="Times New Roman" w:cs="Times New Roman"/>
          <w:sz w:val="24"/>
          <w:szCs w:val="24"/>
        </w:rPr>
        <w:t>”) un anteproyecto de la “</w:t>
      </w:r>
      <w:r w:rsidRPr="00AF5E1D">
        <w:rPr>
          <w:rFonts w:ascii="Times New Roman" w:hAnsi="Times New Roman" w:cs="Times New Roman"/>
          <w:i/>
          <w:iCs/>
          <w:sz w:val="24"/>
          <w:szCs w:val="24"/>
        </w:rPr>
        <w:t xml:space="preserve">Resolución que </w:t>
      </w:r>
      <w:r w:rsidR="00D85938">
        <w:rPr>
          <w:rFonts w:ascii="Times New Roman" w:hAnsi="Times New Roman" w:cs="Times New Roman"/>
          <w:i/>
          <w:iCs/>
          <w:sz w:val="24"/>
          <w:szCs w:val="24"/>
        </w:rPr>
        <w:t>modifica las Disposiciones de carácter general aplicables a las Instituciones de Tecnología Financiera</w:t>
      </w:r>
      <w:r w:rsidRPr="00D71966">
        <w:rPr>
          <w:rFonts w:ascii="Times New Roman" w:hAnsi="Times New Roman" w:cs="Times New Roman"/>
          <w:sz w:val="24"/>
          <w:szCs w:val="24"/>
        </w:rPr>
        <w:t>” (</w:t>
      </w:r>
      <w:r w:rsidR="001215B8">
        <w:rPr>
          <w:rFonts w:ascii="Times New Roman" w:hAnsi="Times New Roman" w:cs="Times New Roman"/>
          <w:sz w:val="24"/>
          <w:szCs w:val="24"/>
        </w:rPr>
        <w:t>el</w:t>
      </w:r>
      <w:r w:rsidRPr="00D71966">
        <w:rPr>
          <w:rFonts w:ascii="Times New Roman" w:hAnsi="Times New Roman" w:cs="Times New Roman"/>
          <w:sz w:val="24"/>
          <w:szCs w:val="24"/>
        </w:rPr>
        <w:t xml:space="preserve"> “</w:t>
      </w:r>
      <w:r w:rsidR="00CA06E0">
        <w:rPr>
          <w:rFonts w:ascii="Times New Roman" w:hAnsi="Times New Roman" w:cs="Times New Roman"/>
          <w:sz w:val="24"/>
          <w:szCs w:val="24"/>
        </w:rPr>
        <w:t>Antep</w:t>
      </w:r>
      <w:r w:rsidR="001215B8">
        <w:rPr>
          <w:rFonts w:ascii="Times New Roman" w:hAnsi="Times New Roman" w:cs="Times New Roman"/>
          <w:sz w:val="24"/>
          <w:szCs w:val="24"/>
        </w:rPr>
        <w:t>royecto</w:t>
      </w:r>
      <w:r w:rsidRPr="00D71966">
        <w:rPr>
          <w:rFonts w:ascii="Times New Roman" w:hAnsi="Times New Roman" w:cs="Times New Roman"/>
          <w:sz w:val="24"/>
          <w:szCs w:val="24"/>
        </w:rPr>
        <w:t>”).</w:t>
      </w:r>
      <w:r w:rsidR="00640DF6">
        <w:rPr>
          <w:rFonts w:ascii="Times New Roman" w:hAnsi="Times New Roman" w:cs="Times New Roman"/>
          <w:sz w:val="24"/>
          <w:szCs w:val="24"/>
        </w:rPr>
        <w:t xml:space="preserve"> </w:t>
      </w:r>
      <w:r w:rsidRPr="00D71966">
        <w:rPr>
          <w:rFonts w:ascii="Times New Roman" w:hAnsi="Times New Roman" w:cs="Times New Roman"/>
          <w:sz w:val="24"/>
          <w:szCs w:val="24"/>
        </w:rPr>
        <w:t xml:space="preserve">El expediente completo del Anteproyecto puede consultarse </w:t>
      </w:r>
      <w:hyperlink r:id="rId8" w:history="1">
        <w:r w:rsidRPr="00BD71B1">
          <w:rPr>
            <w:rStyle w:val="Hipervnculo"/>
            <w:rFonts w:ascii="Times New Roman" w:hAnsi="Times New Roman" w:cs="Times New Roman"/>
            <w:sz w:val="24"/>
            <w:szCs w:val="24"/>
          </w:rPr>
          <w:t>aquí</w:t>
        </w:r>
      </w:hyperlink>
      <w:r w:rsidRPr="00D71966">
        <w:rPr>
          <w:rFonts w:ascii="Times New Roman" w:hAnsi="Times New Roman" w:cs="Times New Roman"/>
          <w:sz w:val="24"/>
          <w:szCs w:val="24"/>
        </w:rPr>
        <w:t>.</w:t>
      </w:r>
    </w:p>
    <w:p w14:paraId="6265F2BC" w14:textId="5715EB51" w:rsidR="008C3A62" w:rsidRDefault="001E473B" w:rsidP="002B6B86">
      <w:pPr>
        <w:spacing w:afterLines="100" w:after="24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Anteproyecto</w:t>
      </w:r>
      <w:r w:rsidR="00B467B3">
        <w:rPr>
          <w:rFonts w:ascii="Times New Roman" w:hAnsi="Times New Roman" w:cs="Times New Roman"/>
          <w:sz w:val="24"/>
          <w:szCs w:val="24"/>
        </w:rPr>
        <w:t xml:space="preserve"> </w:t>
      </w:r>
      <w:r w:rsidR="008C3A62">
        <w:rPr>
          <w:rFonts w:ascii="Times New Roman" w:hAnsi="Times New Roman" w:cs="Times New Roman"/>
          <w:sz w:val="24"/>
          <w:szCs w:val="24"/>
        </w:rPr>
        <w:t>modifica los artículos 100, 101 y 103 de las Disposiciones de carácter general aplicables a las Instituciones de Tecnología Financiera (“Disposiciones”) para:</w:t>
      </w:r>
    </w:p>
    <w:p w14:paraId="23FF7B79" w14:textId="6522AA24" w:rsidR="008C3A62" w:rsidRDefault="008C3A62" w:rsidP="008C3A62">
      <w:pPr>
        <w:pStyle w:val="Prrafodelista"/>
        <w:numPr>
          <w:ilvl w:val="0"/>
          <w:numId w:val="11"/>
        </w:num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Incluir</w:t>
      </w:r>
      <w:r w:rsidR="00576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el Anexo 19 de las Disposiciones la Serie R24 “Información operativa” y el reporte G-2470 “Información relativa a Clientes y Operaciones”.</w:t>
      </w:r>
    </w:p>
    <w:p w14:paraId="6541D4F1" w14:textId="77777777" w:rsidR="00205EB1" w:rsidRPr="008C3A62" w:rsidRDefault="00205EB1" w:rsidP="00205EB1">
      <w:pPr>
        <w:pStyle w:val="Prrafodelista"/>
        <w:spacing w:afterLines="100" w:after="24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278F88B4" w14:textId="7EA006A5" w:rsidR="00205EB1" w:rsidRPr="00205EB1" w:rsidRDefault="008C3A62" w:rsidP="00205EB1">
      <w:pPr>
        <w:pStyle w:val="Prrafodelista"/>
        <w:numPr>
          <w:ilvl w:val="0"/>
          <w:numId w:val="11"/>
        </w:num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reporte se deberá enviar por el</w:t>
      </w:r>
      <w:r w:rsidR="00E75151" w:rsidRPr="008C3A62">
        <w:rPr>
          <w:rFonts w:ascii="Times New Roman" w:hAnsi="Times New Roman" w:cs="Times New Roman"/>
          <w:sz w:val="24"/>
          <w:szCs w:val="24"/>
        </w:rPr>
        <w:t xml:space="preserve"> Sistema Interinstitucional </w:t>
      </w:r>
      <w:r w:rsidR="00E762B0" w:rsidRPr="008C3A62">
        <w:rPr>
          <w:rFonts w:ascii="Times New Roman" w:hAnsi="Times New Roman" w:cs="Times New Roman"/>
          <w:sz w:val="24"/>
          <w:szCs w:val="24"/>
        </w:rPr>
        <w:t>de Transferencia de Información (“</w:t>
      </w:r>
      <w:r w:rsidR="00E762B0" w:rsidRPr="008C3A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SITI</w:t>
      </w:r>
      <w:r w:rsidR="00E762B0" w:rsidRPr="008C3A62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>, los primeros 10 días hábiles del mes inmediato siguiente al periodo que se reporta</w:t>
      </w:r>
      <w:r w:rsidR="00E762B0" w:rsidRPr="008C3A62">
        <w:rPr>
          <w:rFonts w:ascii="Times New Roman" w:hAnsi="Times New Roman" w:cs="Times New Roman"/>
          <w:sz w:val="24"/>
          <w:szCs w:val="24"/>
        </w:rPr>
        <w:t>.</w:t>
      </w:r>
    </w:p>
    <w:p w14:paraId="43CA28C1" w14:textId="55306B84" w:rsidR="00205EB1" w:rsidRPr="008C3A62" w:rsidRDefault="00205EB1" w:rsidP="008C3A62">
      <w:pPr>
        <w:pStyle w:val="Prrafodelista"/>
        <w:numPr>
          <w:ilvl w:val="0"/>
          <w:numId w:val="11"/>
        </w:numPr>
        <w:spacing w:afterLines="10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 reporte deberá apegarse al formato y especificaciones de reporte y transferencia de información que la CNBV indi</w:t>
      </w:r>
      <w:r w:rsidR="001E41BD">
        <w:rPr>
          <w:rFonts w:ascii="Times New Roman" w:hAnsi="Times New Roman" w:cs="Times New Roman"/>
          <w:sz w:val="24"/>
          <w:szCs w:val="24"/>
        </w:rPr>
        <w:t>ca en el Anexo 19. Asimismo, el instructivo de llenado se encontrará en la siguiente liga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>
        <w:r w:rsidRPr="001E41BD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Instituciones de Tecnología Financiera | Comisión Nacional Bancaria y de Valores | Gobierno | gob.mx (www.gob.mx)</w:t>
        </w:r>
      </w:hyperlink>
      <w:r w:rsidR="001E41BD" w:rsidRPr="001E41BD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>.</w:t>
      </w:r>
    </w:p>
    <w:p w14:paraId="21E5A800" w14:textId="3E85818D" w:rsidR="00E762B0" w:rsidRPr="008C3A62" w:rsidRDefault="00B43F31" w:rsidP="00823803">
      <w:pPr>
        <w:spacing w:afterLines="100" w:after="24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C3A62">
        <w:rPr>
          <w:rFonts w:ascii="Times New Roman" w:hAnsi="Times New Roman" w:cs="Times New Roman"/>
          <w:sz w:val="24"/>
          <w:szCs w:val="24"/>
        </w:rPr>
        <w:t>Dicho reporte solicita</w:t>
      </w:r>
      <w:r w:rsidR="001E41BD">
        <w:rPr>
          <w:rFonts w:ascii="Times New Roman" w:hAnsi="Times New Roman" w:cs="Times New Roman"/>
          <w:sz w:val="24"/>
          <w:szCs w:val="24"/>
        </w:rPr>
        <w:t>rá</w:t>
      </w:r>
      <w:r w:rsidRPr="008C3A62">
        <w:rPr>
          <w:rFonts w:ascii="Times New Roman" w:hAnsi="Times New Roman" w:cs="Times New Roman"/>
          <w:sz w:val="24"/>
          <w:szCs w:val="24"/>
        </w:rPr>
        <w:t xml:space="preserve"> la siguiente información referente a los clientes y operaciones que realicen en sus cuentas de fondos de pago electrónico que tengan con la IFPE que se trate:</w:t>
      </w:r>
    </w:p>
    <w:p w14:paraId="6FAC437B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>Información de Clientes</w:t>
      </w:r>
    </w:p>
    <w:p w14:paraId="3EA5B03B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>Información de cuentas de Clientes</w:t>
      </w:r>
    </w:p>
    <w:p w14:paraId="7566ACA9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>Información de cuentas para el manejo de recursos de Clientes</w:t>
      </w:r>
    </w:p>
    <w:p w14:paraId="7EFAB871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>Información de cuentas para el manejo de recursos propios</w:t>
      </w:r>
    </w:p>
    <w:p w14:paraId="7382BA5D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>Saldos y movimientos de cuentas de Clientes</w:t>
      </w:r>
    </w:p>
    <w:p w14:paraId="7934709A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 xml:space="preserve">Saldos y movimientos de cuentas para el manejo de recursos de Clientes </w:t>
      </w:r>
    </w:p>
    <w:p w14:paraId="6BD0B6A8" w14:textId="77777777" w:rsidR="00D11655" w:rsidRPr="00D11655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 xml:space="preserve">Sobregiros </w:t>
      </w:r>
    </w:p>
    <w:p w14:paraId="6A0B989A" w14:textId="40FC4ED5" w:rsidR="00B43F31" w:rsidRPr="00B43F31" w:rsidRDefault="00D11655" w:rsidP="00D11655">
      <w:pPr>
        <w:pStyle w:val="Prrafodelista"/>
        <w:numPr>
          <w:ilvl w:val="0"/>
          <w:numId w:val="10"/>
        </w:numPr>
        <w:spacing w:afterLines="100" w:after="240" w:line="240" w:lineRule="auto"/>
        <w:ind w:left="1071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11655">
        <w:rPr>
          <w:rFonts w:ascii="Times New Roman" w:hAnsi="Times New Roman" w:cs="Times New Roman"/>
          <w:sz w:val="24"/>
          <w:szCs w:val="24"/>
        </w:rPr>
        <w:t>Comisiones</w:t>
      </w:r>
    </w:p>
    <w:p w14:paraId="4A936E49" w14:textId="160DB193" w:rsidR="004A56E6" w:rsidRDefault="00A03017" w:rsidP="00FF7335">
      <w:pPr>
        <w:spacing w:afterLines="100" w:after="24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es"/>
        </w:rPr>
      </w:pPr>
      <w:r>
        <w:rPr>
          <w:rFonts w:ascii="Times New Roman" w:hAnsi="Times New Roman" w:cs="Times New Roman"/>
          <w:b/>
          <w:sz w:val="24"/>
          <w:szCs w:val="24"/>
          <w:lang w:val="es"/>
        </w:rPr>
        <w:t>I.</w:t>
      </w:r>
      <w:r w:rsidR="00181170">
        <w:rPr>
          <w:rFonts w:ascii="Times New Roman" w:hAnsi="Times New Roman" w:cs="Times New Roman"/>
          <w:b/>
          <w:sz w:val="24"/>
          <w:szCs w:val="24"/>
          <w:lang w:val="e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s"/>
        </w:rPr>
        <w:t>. Disposiciones transitorias.</w:t>
      </w:r>
    </w:p>
    <w:p w14:paraId="00D6779C" w14:textId="2E53690A" w:rsidR="00233763" w:rsidRPr="008B69A7" w:rsidRDefault="006A66A3" w:rsidP="008E7D59">
      <w:pPr>
        <w:spacing w:afterLines="100" w:after="24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  <w:lang w:val="es"/>
        </w:rPr>
      </w:pPr>
      <w:r w:rsidRPr="006A66A3">
        <w:rPr>
          <w:rFonts w:ascii="Times New Roman" w:hAnsi="Times New Roman" w:cs="Times New Roman"/>
          <w:bCs/>
          <w:sz w:val="24"/>
          <w:szCs w:val="24"/>
          <w:lang w:val="es"/>
        </w:rPr>
        <w:t>Si bien</w:t>
      </w:r>
      <w:r>
        <w:rPr>
          <w:rFonts w:ascii="Times New Roman" w:hAnsi="Times New Roman" w:cs="Times New Roman"/>
          <w:bCs/>
          <w:sz w:val="24"/>
          <w:szCs w:val="24"/>
          <w:lang w:val="es"/>
        </w:rPr>
        <w:t xml:space="preserve"> las modificaciones entrarán en vigor al día siguiente de la publicación del Anteproyecto en su versión definitiva como </w:t>
      </w:r>
      <w:r w:rsidR="009F7276">
        <w:rPr>
          <w:rFonts w:ascii="Times New Roman" w:hAnsi="Times New Roman" w:cs="Times New Roman"/>
          <w:bCs/>
          <w:sz w:val="24"/>
          <w:szCs w:val="24"/>
          <w:lang w:val="es"/>
        </w:rPr>
        <w:t xml:space="preserve">resolución en el Diario Oficial de la Federación, </w:t>
      </w:r>
      <w:r w:rsidR="00896776">
        <w:rPr>
          <w:rFonts w:ascii="Times New Roman" w:hAnsi="Times New Roman" w:cs="Times New Roman"/>
          <w:bCs/>
          <w:sz w:val="24"/>
          <w:szCs w:val="24"/>
          <w:lang w:val="es"/>
        </w:rPr>
        <w:t xml:space="preserve">las IFPE </w:t>
      </w:r>
      <w:r w:rsidR="008E7D59" w:rsidRPr="008E7D59">
        <w:rPr>
          <w:rFonts w:ascii="Times New Roman" w:hAnsi="Times New Roman" w:cs="Times New Roman"/>
          <w:bCs/>
          <w:sz w:val="24"/>
          <w:szCs w:val="24"/>
          <w:lang w:val="es"/>
        </w:rPr>
        <w:t>tendrán hasta el 1 de enero de 2025 para realizar las acciones necesarias a efecto de presentar el reporte regulatorio G-2470 Información relativa a Clientes y Operaciones perteneciente a la Serie R24 Información operativa.</w:t>
      </w:r>
    </w:p>
    <w:p w14:paraId="7E9FDB4D" w14:textId="3067E169" w:rsidR="00BB1E71" w:rsidRDefault="00BB1E71" w:rsidP="00FF73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s"/>
        </w:rPr>
      </w:pPr>
      <w:r w:rsidRPr="002F2DD4">
        <w:rPr>
          <w:rFonts w:ascii="Times New Roman" w:hAnsi="Times New Roman" w:cs="Times New Roman"/>
          <w:sz w:val="24"/>
          <w:szCs w:val="24"/>
          <w:lang w:val="es"/>
        </w:rPr>
        <w:t>*   *   *   *</w:t>
      </w:r>
    </w:p>
    <w:p w14:paraId="29263A65" w14:textId="77777777" w:rsidR="00ED603F" w:rsidRPr="002F2DD4" w:rsidRDefault="00ED603F" w:rsidP="00ED603F">
      <w:pPr>
        <w:spacing w:after="0" w:line="240" w:lineRule="auto"/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r w:rsidRPr="002F2DD4">
        <w:rPr>
          <w:rFonts w:ascii="Times New Roman" w:hAnsi="Times New Roman" w:cs="Times New Roman"/>
          <w:sz w:val="24"/>
          <w:szCs w:val="24"/>
          <w:lang w:val="es"/>
        </w:rPr>
        <w:t>Este documento no constituye asesoramiento legal</w:t>
      </w:r>
      <w:r>
        <w:rPr>
          <w:rFonts w:ascii="Times New Roman" w:hAnsi="Times New Roman" w:cs="Times New Roman"/>
          <w:sz w:val="24"/>
          <w:szCs w:val="24"/>
          <w:lang w:val="es"/>
        </w:rPr>
        <w:t>, en caso de requerir información adicional o una asesoría favor de contactarnos.</w:t>
      </w:r>
    </w:p>
    <w:p w14:paraId="6E14A5B6" w14:textId="77777777" w:rsidR="00ED603F" w:rsidRPr="002F2DD4" w:rsidRDefault="00ED603F" w:rsidP="00FF73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AD0A57" w14:textId="77777777" w:rsidR="00BB1E71" w:rsidRPr="002F2DD4" w:rsidRDefault="00BB1E71" w:rsidP="00BB1E7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F2DD4">
        <w:rPr>
          <w:rFonts w:ascii="Times New Roman" w:hAnsi="Times New Roman" w:cs="Times New Roman"/>
          <w:sz w:val="24"/>
          <w:szCs w:val="24"/>
          <w:lang w:val="es"/>
        </w:rPr>
        <w:lastRenderedPageBreak/>
        <w:t>Campa &amp; Mendoza</w:t>
      </w:r>
    </w:p>
    <w:p w14:paraId="457383BA" w14:textId="05A31C85" w:rsidR="00BB1E71" w:rsidRDefault="00000000" w:rsidP="00D524B6">
      <w:pPr>
        <w:spacing w:after="0" w:line="240" w:lineRule="auto"/>
        <w:contextualSpacing/>
        <w:jc w:val="right"/>
        <w:rPr>
          <w:rStyle w:val="Hipervnculo"/>
          <w:rFonts w:ascii="Times New Roman" w:hAnsi="Times New Roman" w:cs="Times New Roman"/>
          <w:sz w:val="24"/>
          <w:szCs w:val="24"/>
          <w:lang w:val="es"/>
        </w:rPr>
      </w:pPr>
      <w:hyperlink r:id="rId10" w:history="1">
        <w:r w:rsidR="00BB1E71" w:rsidRPr="002F2DD4">
          <w:rPr>
            <w:rStyle w:val="Hipervnculo"/>
            <w:rFonts w:ascii="Times New Roman" w:hAnsi="Times New Roman" w:cs="Times New Roman"/>
            <w:sz w:val="24"/>
            <w:szCs w:val="24"/>
            <w:lang w:val="es"/>
          </w:rPr>
          <w:t>contacto@campaymendoza.com</w:t>
        </w:r>
      </w:hyperlink>
    </w:p>
    <w:p w14:paraId="2E3DCE3D" w14:textId="77777777" w:rsidR="00A037F4" w:rsidRPr="002F2DD4" w:rsidRDefault="00A037F4" w:rsidP="00D524B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56FC588" w14:textId="585150E4" w:rsidR="00D524B6" w:rsidRPr="002F2DD4" w:rsidRDefault="00D524B6" w:rsidP="002E047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sectPr w:rsidR="00D524B6" w:rsidRPr="002F2DD4" w:rsidSect="00830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2829" w:right="1701" w:bottom="2977" w:left="1701" w:header="709" w:footer="6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F9B5E" w14:textId="77777777" w:rsidR="00C24BDF" w:rsidRDefault="00C24BDF" w:rsidP="00BB1E71">
      <w:pPr>
        <w:spacing w:after="0" w:line="240" w:lineRule="auto"/>
      </w:pPr>
      <w:r>
        <w:rPr>
          <w:lang w:val="es"/>
        </w:rPr>
        <w:separator/>
      </w:r>
    </w:p>
  </w:endnote>
  <w:endnote w:type="continuationSeparator" w:id="0">
    <w:p w14:paraId="1206AC52" w14:textId="77777777" w:rsidR="00C24BDF" w:rsidRDefault="00C24BDF" w:rsidP="00BB1E71">
      <w:pPr>
        <w:spacing w:after="0" w:line="240" w:lineRule="auto"/>
      </w:pPr>
      <w:r>
        <w:rPr>
          <w:lang w:val="es"/>
        </w:rPr>
        <w:continuationSeparator/>
      </w:r>
    </w:p>
  </w:endnote>
  <w:endnote w:type="continuationNotice" w:id="1">
    <w:p w14:paraId="10651DB7" w14:textId="77777777" w:rsidR="00C24BDF" w:rsidRDefault="00C24B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92316" w14:textId="77777777" w:rsidR="004F775B" w:rsidRDefault="004F77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0951506"/>
      <w:docPartObj>
        <w:docPartGallery w:val="Page Numbers (Bottom of Page)"/>
        <w:docPartUnique/>
      </w:docPartObj>
    </w:sdtPr>
    <w:sdtContent>
      <w:p w14:paraId="5031D05D" w14:textId="77777777" w:rsidR="004F775B" w:rsidRDefault="0027411A">
        <w:pPr>
          <w:pStyle w:val="Piedepgina"/>
          <w:jc w:val="center"/>
          <w:rPr>
            <w:rFonts w:ascii="Times New Roman" w:hAnsi="Times New Roman" w:cs="Times New Roman"/>
          </w:rPr>
        </w:pPr>
        <w:r w:rsidRPr="001D777B">
          <w:rPr>
            <w:noProof/>
            <w:lang w:val="es"/>
          </w:rPr>
          <w:drawing>
            <wp:anchor distT="0" distB="0" distL="114300" distR="114300" simplePos="0" relativeHeight="251658242" behindDoc="1" locked="0" layoutInCell="1" allowOverlap="1" wp14:anchorId="04FEE25F" wp14:editId="413F1B99">
              <wp:simplePos x="0" y="0"/>
              <wp:positionH relativeFrom="margin">
                <wp:align>left</wp:align>
              </wp:positionH>
              <wp:positionV relativeFrom="paragraph">
                <wp:posOffset>77010</wp:posOffset>
              </wp:positionV>
              <wp:extent cx="5667154" cy="1295934"/>
              <wp:effectExtent l="0" t="0" r="0" b="0"/>
              <wp:wrapNone/>
              <wp:docPr id="49" name="Imagen 49" descr="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 descr="Interfaz de usuario gráfica&#10;&#10;Descripción generada automá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67154" cy="12959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2327">
          <w:rPr>
            <w:lang w:val="es"/>
          </w:rPr>
          <w:fldChar w:fldCharType="begin"/>
        </w:r>
        <w:r w:rsidRPr="00952327">
          <w:rPr>
            <w:lang w:val="es"/>
          </w:rPr>
          <w:instrText>PAGE   \* MERGEFORMAT</w:instrText>
        </w:r>
        <w:r w:rsidRPr="00952327">
          <w:rPr>
            <w:lang w:val="es"/>
          </w:rPr>
          <w:fldChar w:fldCharType="separate"/>
        </w:r>
        <w:r w:rsidRPr="00952327">
          <w:rPr>
            <w:lang w:val="es"/>
          </w:rPr>
          <w:t>2</w:t>
        </w:r>
        <w:r w:rsidRPr="00952327">
          <w:rPr>
            <w:lang w:val="es"/>
          </w:rPr>
          <w:fldChar w:fldCharType="end"/>
        </w:r>
      </w:p>
      <w:p w14:paraId="2213725A" w14:textId="77777777" w:rsidR="004F775B" w:rsidRDefault="004F775B">
        <w:pPr>
          <w:pStyle w:val="Piedepgina"/>
          <w:jc w:val="center"/>
          <w:rPr>
            <w:rFonts w:ascii="Times New Roman" w:hAnsi="Times New Roman" w:cs="Times New Roman"/>
          </w:rPr>
        </w:pPr>
      </w:p>
      <w:p w14:paraId="5F16B61E" w14:textId="77777777" w:rsidR="004F775B" w:rsidRPr="00952327" w:rsidRDefault="004F775B">
        <w:pPr>
          <w:pStyle w:val="Piedepgina"/>
          <w:jc w:val="center"/>
          <w:rPr>
            <w:rFonts w:ascii="Times New Roman" w:hAnsi="Times New Roman" w:cs="Times New Roman"/>
          </w:rPr>
        </w:pPr>
      </w:p>
      <w:p w14:paraId="05558B6C" w14:textId="77777777" w:rsidR="004F775B" w:rsidRDefault="004F775B">
        <w:pPr>
          <w:pStyle w:val="Piedepgina"/>
          <w:jc w:val="center"/>
        </w:pPr>
      </w:p>
      <w:p w14:paraId="3DD25EA3" w14:textId="77777777" w:rsidR="004F775B" w:rsidRDefault="004F775B">
        <w:pPr>
          <w:pStyle w:val="Piedepgina"/>
          <w:jc w:val="center"/>
        </w:pPr>
      </w:p>
      <w:p w14:paraId="4A857A17" w14:textId="77777777" w:rsidR="004F775B" w:rsidRDefault="00000000">
        <w:pPr>
          <w:pStyle w:val="Piedepgina"/>
          <w:jc w:val="center"/>
        </w:pPr>
      </w:p>
    </w:sdtContent>
  </w:sdt>
  <w:p w14:paraId="7DA9AD40" w14:textId="77777777" w:rsidR="004F775B" w:rsidRDefault="004F77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6F673" w14:textId="77777777" w:rsidR="004F775B" w:rsidRDefault="0027411A">
    <w:pPr>
      <w:pStyle w:val="Piedepgina"/>
    </w:pPr>
    <w:r w:rsidRPr="001D777B">
      <w:rPr>
        <w:noProof/>
        <w:lang w:val="es"/>
      </w:rPr>
      <w:drawing>
        <wp:anchor distT="0" distB="0" distL="114300" distR="114300" simplePos="0" relativeHeight="251658241" behindDoc="1" locked="0" layoutInCell="1" allowOverlap="1" wp14:anchorId="7ACAB530" wp14:editId="4D95F4F6">
          <wp:simplePos x="0" y="0"/>
          <wp:positionH relativeFrom="margin">
            <wp:align>right</wp:align>
          </wp:positionH>
          <wp:positionV relativeFrom="paragraph">
            <wp:posOffset>-1279601</wp:posOffset>
          </wp:positionV>
          <wp:extent cx="5667154" cy="1295934"/>
          <wp:effectExtent l="0" t="0" r="0" b="0"/>
          <wp:wrapNone/>
          <wp:docPr id="48" name="Imagen 48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154" cy="1295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28AD" w14:textId="77777777" w:rsidR="00C24BDF" w:rsidRDefault="00C24BDF" w:rsidP="00BB1E71">
      <w:pPr>
        <w:spacing w:after="0" w:line="240" w:lineRule="auto"/>
      </w:pPr>
      <w:r>
        <w:rPr>
          <w:lang w:val="es"/>
        </w:rPr>
        <w:separator/>
      </w:r>
    </w:p>
  </w:footnote>
  <w:footnote w:type="continuationSeparator" w:id="0">
    <w:p w14:paraId="6BA070E7" w14:textId="77777777" w:rsidR="00C24BDF" w:rsidRDefault="00C24BDF" w:rsidP="00BB1E71">
      <w:pPr>
        <w:spacing w:after="0" w:line="240" w:lineRule="auto"/>
      </w:pPr>
      <w:r>
        <w:rPr>
          <w:lang w:val="es"/>
        </w:rPr>
        <w:continuationSeparator/>
      </w:r>
    </w:p>
  </w:footnote>
  <w:footnote w:type="continuationNotice" w:id="1">
    <w:p w14:paraId="0DE1CAD0" w14:textId="77777777" w:rsidR="00C24BDF" w:rsidRDefault="00C24B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B495" w14:textId="77777777" w:rsidR="004F775B" w:rsidRDefault="004F77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F71B5" w14:textId="77777777" w:rsidR="004F775B" w:rsidRDefault="0027411A">
    <w:pPr>
      <w:pStyle w:val="Encabezado"/>
    </w:pP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71E21BE" wp14:editId="5A017553">
          <wp:simplePos x="0" y="0"/>
          <wp:positionH relativeFrom="column">
            <wp:posOffset>-1067256</wp:posOffset>
          </wp:positionH>
          <wp:positionV relativeFrom="paragraph">
            <wp:posOffset>-436701</wp:posOffset>
          </wp:positionV>
          <wp:extent cx="7727324" cy="1464502"/>
          <wp:effectExtent l="0" t="0" r="0" b="0"/>
          <wp:wrapNone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324" cy="1464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3D03B" w14:textId="77777777" w:rsidR="004F775B" w:rsidRDefault="0027411A">
    <w:pPr>
      <w:pStyle w:val="Encabezado"/>
    </w:pPr>
    <w:r w:rsidRPr="00C32CC9">
      <w:rPr>
        <w:noProof/>
        <w:lang w:val="es"/>
      </w:rPr>
      <w:drawing>
        <wp:inline distT="0" distB="0" distL="0" distR="0" wp14:anchorId="2D128231" wp14:editId="3A1961D3">
          <wp:extent cx="3309878" cy="1289050"/>
          <wp:effectExtent l="0" t="0" r="0" b="0"/>
          <wp:docPr id="47" name="Imagen 4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2222" cy="1352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20D53"/>
    <w:multiLevelType w:val="hybridMultilevel"/>
    <w:tmpl w:val="43D482AE"/>
    <w:lvl w:ilvl="0" w:tplc="D170394A">
      <w:start w:val="1"/>
      <w:numFmt w:val="lowerRoman"/>
      <w:lvlText w:val="%1."/>
      <w:lvlJc w:val="left"/>
      <w:pPr>
        <w:ind w:left="107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DBD0D12"/>
    <w:multiLevelType w:val="hybridMultilevel"/>
    <w:tmpl w:val="1AB88E42"/>
    <w:lvl w:ilvl="0" w:tplc="08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8EB3C20"/>
    <w:multiLevelType w:val="hybridMultilevel"/>
    <w:tmpl w:val="1AAA4AE0"/>
    <w:lvl w:ilvl="0" w:tplc="F682A16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D6728"/>
    <w:multiLevelType w:val="hybridMultilevel"/>
    <w:tmpl w:val="50C61222"/>
    <w:lvl w:ilvl="0" w:tplc="83D05A32">
      <w:start w:val="1"/>
      <w:numFmt w:val="decimal"/>
      <w:lvlText w:val="%1."/>
      <w:lvlJc w:val="left"/>
      <w:pPr>
        <w:ind w:left="720" w:hanging="360"/>
      </w:pPr>
      <w:rPr>
        <w:rFonts w:ascii="Merriweather" w:hAnsi="Merriweather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D05D5"/>
    <w:multiLevelType w:val="hybridMultilevel"/>
    <w:tmpl w:val="BC14CEA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0A31F22"/>
    <w:multiLevelType w:val="hybridMultilevel"/>
    <w:tmpl w:val="6FAA6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C0D58"/>
    <w:multiLevelType w:val="hybridMultilevel"/>
    <w:tmpl w:val="F0603480"/>
    <w:lvl w:ilvl="0" w:tplc="A750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82376"/>
    <w:multiLevelType w:val="hybridMultilevel"/>
    <w:tmpl w:val="9882485C"/>
    <w:lvl w:ilvl="0" w:tplc="E88035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F47F1"/>
    <w:multiLevelType w:val="hybridMultilevel"/>
    <w:tmpl w:val="D29C4A5E"/>
    <w:lvl w:ilvl="0" w:tplc="F698BB9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37" w:hanging="360"/>
      </w:pPr>
    </w:lvl>
    <w:lvl w:ilvl="2" w:tplc="080A001B" w:tentative="1">
      <w:start w:val="1"/>
      <w:numFmt w:val="lowerRoman"/>
      <w:lvlText w:val="%3."/>
      <w:lvlJc w:val="right"/>
      <w:pPr>
        <w:ind w:left="2157" w:hanging="180"/>
      </w:pPr>
    </w:lvl>
    <w:lvl w:ilvl="3" w:tplc="080A000F" w:tentative="1">
      <w:start w:val="1"/>
      <w:numFmt w:val="decimal"/>
      <w:lvlText w:val="%4."/>
      <w:lvlJc w:val="left"/>
      <w:pPr>
        <w:ind w:left="2877" w:hanging="360"/>
      </w:pPr>
    </w:lvl>
    <w:lvl w:ilvl="4" w:tplc="080A0019" w:tentative="1">
      <w:start w:val="1"/>
      <w:numFmt w:val="lowerLetter"/>
      <w:lvlText w:val="%5."/>
      <w:lvlJc w:val="left"/>
      <w:pPr>
        <w:ind w:left="3597" w:hanging="360"/>
      </w:pPr>
    </w:lvl>
    <w:lvl w:ilvl="5" w:tplc="080A001B" w:tentative="1">
      <w:start w:val="1"/>
      <w:numFmt w:val="lowerRoman"/>
      <w:lvlText w:val="%6."/>
      <w:lvlJc w:val="right"/>
      <w:pPr>
        <w:ind w:left="4317" w:hanging="180"/>
      </w:pPr>
    </w:lvl>
    <w:lvl w:ilvl="6" w:tplc="080A000F" w:tentative="1">
      <w:start w:val="1"/>
      <w:numFmt w:val="decimal"/>
      <w:lvlText w:val="%7."/>
      <w:lvlJc w:val="left"/>
      <w:pPr>
        <w:ind w:left="5037" w:hanging="360"/>
      </w:pPr>
    </w:lvl>
    <w:lvl w:ilvl="7" w:tplc="080A0019" w:tentative="1">
      <w:start w:val="1"/>
      <w:numFmt w:val="lowerLetter"/>
      <w:lvlText w:val="%8."/>
      <w:lvlJc w:val="left"/>
      <w:pPr>
        <w:ind w:left="5757" w:hanging="360"/>
      </w:pPr>
    </w:lvl>
    <w:lvl w:ilvl="8" w:tplc="08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75727395"/>
    <w:multiLevelType w:val="hybridMultilevel"/>
    <w:tmpl w:val="0B88BEC8"/>
    <w:lvl w:ilvl="0" w:tplc="0A361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540E"/>
    <w:multiLevelType w:val="hybridMultilevel"/>
    <w:tmpl w:val="E63C3F9A"/>
    <w:lvl w:ilvl="0" w:tplc="83D05A32">
      <w:start w:val="1"/>
      <w:numFmt w:val="decimal"/>
      <w:lvlText w:val="%1."/>
      <w:lvlJc w:val="left"/>
      <w:pPr>
        <w:ind w:left="720" w:hanging="360"/>
      </w:pPr>
      <w:rPr>
        <w:rFonts w:ascii="Merriweather" w:hAnsi="Merriweather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488011">
    <w:abstractNumId w:val="3"/>
  </w:num>
  <w:num w:numId="2" w16cid:durableId="704797556">
    <w:abstractNumId w:val="10"/>
  </w:num>
  <w:num w:numId="3" w16cid:durableId="232012998">
    <w:abstractNumId w:val="2"/>
  </w:num>
  <w:num w:numId="4" w16cid:durableId="1466117903">
    <w:abstractNumId w:val="5"/>
  </w:num>
  <w:num w:numId="5" w16cid:durableId="1291286049">
    <w:abstractNumId w:val="6"/>
  </w:num>
  <w:num w:numId="6" w16cid:durableId="2021083270">
    <w:abstractNumId w:val="9"/>
  </w:num>
  <w:num w:numId="7" w16cid:durableId="1348826930">
    <w:abstractNumId w:val="7"/>
  </w:num>
  <w:num w:numId="8" w16cid:durableId="1252663995">
    <w:abstractNumId w:val="1"/>
  </w:num>
  <w:num w:numId="9" w16cid:durableId="1133792514">
    <w:abstractNumId w:val="8"/>
  </w:num>
  <w:num w:numId="10" w16cid:durableId="179245148">
    <w:abstractNumId w:val="4"/>
  </w:num>
  <w:num w:numId="11" w16cid:durableId="159659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71"/>
    <w:rsid w:val="00000D3F"/>
    <w:rsid w:val="000017DE"/>
    <w:rsid w:val="00002C84"/>
    <w:rsid w:val="00011C96"/>
    <w:rsid w:val="000207AA"/>
    <w:rsid w:val="000304D1"/>
    <w:rsid w:val="000334C5"/>
    <w:rsid w:val="00035BE6"/>
    <w:rsid w:val="00041D48"/>
    <w:rsid w:val="000420BC"/>
    <w:rsid w:val="00052018"/>
    <w:rsid w:val="0005369C"/>
    <w:rsid w:val="00054CEA"/>
    <w:rsid w:val="00061779"/>
    <w:rsid w:val="00061B36"/>
    <w:rsid w:val="00063779"/>
    <w:rsid w:val="00063FF6"/>
    <w:rsid w:val="00065771"/>
    <w:rsid w:val="0007071D"/>
    <w:rsid w:val="0007647D"/>
    <w:rsid w:val="00080021"/>
    <w:rsid w:val="000923E2"/>
    <w:rsid w:val="000A103D"/>
    <w:rsid w:val="000A15BF"/>
    <w:rsid w:val="000A2B44"/>
    <w:rsid w:val="000B6F77"/>
    <w:rsid w:val="000C548F"/>
    <w:rsid w:val="000C60B8"/>
    <w:rsid w:val="000D3F16"/>
    <w:rsid w:val="000D4911"/>
    <w:rsid w:val="000E13E6"/>
    <w:rsid w:val="000E6C70"/>
    <w:rsid w:val="000F562D"/>
    <w:rsid w:val="000F64CD"/>
    <w:rsid w:val="001041D0"/>
    <w:rsid w:val="00105703"/>
    <w:rsid w:val="0011018A"/>
    <w:rsid w:val="001215B8"/>
    <w:rsid w:val="00147281"/>
    <w:rsid w:val="00174AF6"/>
    <w:rsid w:val="00181170"/>
    <w:rsid w:val="001A03E9"/>
    <w:rsid w:val="001A07DB"/>
    <w:rsid w:val="001A74D5"/>
    <w:rsid w:val="001B0F03"/>
    <w:rsid w:val="001B1ACF"/>
    <w:rsid w:val="001B78B3"/>
    <w:rsid w:val="001C0926"/>
    <w:rsid w:val="001C0CC3"/>
    <w:rsid w:val="001C3B76"/>
    <w:rsid w:val="001D58BD"/>
    <w:rsid w:val="001E0FFD"/>
    <w:rsid w:val="001E1DB9"/>
    <w:rsid w:val="001E41BD"/>
    <w:rsid w:val="001E473B"/>
    <w:rsid w:val="001F1B9E"/>
    <w:rsid w:val="001F72C0"/>
    <w:rsid w:val="00205EB1"/>
    <w:rsid w:val="00205F8A"/>
    <w:rsid w:val="00206C23"/>
    <w:rsid w:val="00210247"/>
    <w:rsid w:val="0021273B"/>
    <w:rsid w:val="00214C0B"/>
    <w:rsid w:val="00220CDC"/>
    <w:rsid w:val="002268C2"/>
    <w:rsid w:val="00231EA2"/>
    <w:rsid w:val="00233144"/>
    <w:rsid w:val="00233763"/>
    <w:rsid w:val="00252F19"/>
    <w:rsid w:val="00253E2D"/>
    <w:rsid w:val="00265E06"/>
    <w:rsid w:val="0027081B"/>
    <w:rsid w:val="0027411A"/>
    <w:rsid w:val="0027494A"/>
    <w:rsid w:val="002801A1"/>
    <w:rsid w:val="002819C3"/>
    <w:rsid w:val="00284CFA"/>
    <w:rsid w:val="00286F8D"/>
    <w:rsid w:val="00291331"/>
    <w:rsid w:val="002979BF"/>
    <w:rsid w:val="002B09CF"/>
    <w:rsid w:val="002B1D35"/>
    <w:rsid w:val="002B44F8"/>
    <w:rsid w:val="002B6B86"/>
    <w:rsid w:val="002C581F"/>
    <w:rsid w:val="002C6864"/>
    <w:rsid w:val="002D04A5"/>
    <w:rsid w:val="002D6D2E"/>
    <w:rsid w:val="002D73B8"/>
    <w:rsid w:val="002E0479"/>
    <w:rsid w:val="002E6F4C"/>
    <w:rsid w:val="002F134E"/>
    <w:rsid w:val="002F2057"/>
    <w:rsid w:val="002F2DD4"/>
    <w:rsid w:val="00303982"/>
    <w:rsid w:val="003206AB"/>
    <w:rsid w:val="0032409B"/>
    <w:rsid w:val="0032649E"/>
    <w:rsid w:val="0032688D"/>
    <w:rsid w:val="00327570"/>
    <w:rsid w:val="00334107"/>
    <w:rsid w:val="00337A74"/>
    <w:rsid w:val="00337C63"/>
    <w:rsid w:val="00351489"/>
    <w:rsid w:val="0036602C"/>
    <w:rsid w:val="00366E64"/>
    <w:rsid w:val="00372B57"/>
    <w:rsid w:val="003816B2"/>
    <w:rsid w:val="0039152B"/>
    <w:rsid w:val="00393B81"/>
    <w:rsid w:val="00396E2F"/>
    <w:rsid w:val="00397B8B"/>
    <w:rsid w:val="003A3272"/>
    <w:rsid w:val="003A5551"/>
    <w:rsid w:val="003A5DC8"/>
    <w:rsid w:val="003B209C"/>
    <w:rsid w:val="003B34AC"/>
    <w:rsid w:val="003C1D62"/>
    <w:rsid w:val="003C7802"/>
    <w:rsid w:val="003E39A8"/>
    <w:rsid w:val="003E51E3"/>
    <w:rsid w:val="003F5FB1"/>
    <w:rsid w:val="003F7CAF"/>
    <w:rsid w:val="004014E2"/>
    <w:rsid w:val="00401E26"/>
    <w:rsid w:val="00403FC8"/>
    <w:rsid w:val="00412047"/>
    <w:rsid w:val="00414587"/>
    <w:rsid w:val="00422AD5"/>
    <w:rsid w:val="00426485"/>
    <w:rsid w:val="004317DA"/>
    <w:rsid w:val="004351AA"/>
    <w:rsid w:val="004416DD"/>
    <w:rsid w:val="00442C7A"/>
    <w:rsid w:val="00442D24"/>
    <w:rsid w:val="004442D2"/>
    <w:rsid w:val="00446066"/>
    <w:rsid w:val="00475E98"/>
    <w:rsid w:val="00476FA6"/>
    <w:rsid w:val="00480521"/>
    <w:rsid w:val="00480AAC"/>
    <w:rsid w:val="00485D64"/>
    <w:rsid w:val="00497040"/>
    <w:rsid w:val="004A08E3"/>
    <w:rsid w:val="004A1A0A"/>
    <w:rsid w:val="004A378B"/>
    <w:rsid w:val="004A56E6"/>
    <w:rsid w:val="004B0B3E"/>
    <w:rsid w:val="004B0CEA"/>
    <w:rsid w:val="004B245A"/>
    <w:rsid w:val="004C7E2F"/>
    <w:rsid w:val="004D0188"/>
    <w:rsid w:val="004D5B81"/>
    <w:rsid w:val="004E6624"/>
    <w:rsid w:val="004F3B1D"/>
    <w:rsid w:val="004F775B"/>
    <w:rsid w:val="00504EB2"/>
    <w:rsid w:val="005240B4"/>
    <w:rsid w:val="00526690"/>
    <w:rsid w:val="005274A1"/>
    <w:rsid w:val="00532D74"/>
    <w:rsid w:val="00534572"/>
    <w:rsid w:val="00537E35"/>
    <w:rsid w:val="00552BAB"/>
    <w:rsid w:val="00555BE0"/>
    <w:rsid w:val="00565955"/>
    <w:rsid w:val="00570915"/>
    <w:rsid w:val="00576E30"/>
    <w:rsid w:val="005830DD"/>
    <w:rsid w:val="0058378C"/>
    <w:rsid w:val="00593898"/>
    <w:rsid w:val="005A4854"/>
    <w:rsid w:val="005A7234"/>
    <w:rsid w:val="005B17A4"/>
    <w:rsid w:val="005B47B1"/>
    <w:rsid w:val="005B7F81"/>
    <w:rsid w:val="005C2525"/>
    <w:rsid w:val="005D3622"/>
    <w:rsid w:val="005E1358"/>
    <w:rsid w:val="005E63BD"/>
    <w:rsid w:val="005E6B75"/>
    <w:rsid w:val="005F71E1"/>
    <w:rsid w:val="00602468"/>
    <w:rsid w:val="00602D79"/>
    <w:rsid w:val="006121DF"/>
    <w:rsid w:val="00612551"/>
    <w:rsid w:val="0062269D"/>
    <w:rsid w:val="00622F70"/>
    <w:rsid w:val="00627C6B"/>
    <w:rsid w:val="00631D26"/>
    <w:rsid w:val="00634A48"/>
    <w:rsid w:val="00640DF6"/>
    <w:rsid w:val="0064126E"/>
    <w:rsid w:val="00645993"/>
    <w:rsid w:val="00646C1B"/>
    <w:rsid w:val="00656C36"/>
    <w:rsid w:val="006605AB"/>
    <w:rsid w:val="00680477"/>
    <w:rsid w:val="006812D9"/>
    <w:rsid w:val="00684309"/>
    <w:rsid w:val="00691A3A"/>
    <w:rsid w:val="006A3495"/>
    <w:rsid w:val="006A66A3"/>
    <w:rsid w:val="006B07DC"/>
    <w:rsid w:val="006B186C"/>
    <w:rsid w:val="006B544B"/>
    <w:rsid w:val="006B55FF"/>
    <w:rsid w:val="006B7886"/>
    <w:rsid w:val="006B7DB6"/>
    <w:rsid w:val="006C3996"/>
    <w:rsid w:val="006C3D60"/>
    <w:rsid w:val="006C450D"/>
    <w:rsid w:val="006D1384"/>
    <w:rsid w:val="006D1948"/>
    <w:rsid w:val="006D2966"/>
    <w:rsid w:val="006D6CC6"/>
    <w:rsid w:val="006E5EEE"/>
    <w:rsid w:val="006F1F2A"/>
    <w:rsid w:val="00711B93"/>
    <w:rsid w:val="00712C85"/>
    <w:rsid w:val="00716083"/>
    <w:rsid w:val="00716EB4"/>
    <w:rsid w:val="00722292"/>
    <w:rsid w:val="007272DB"/>
    <w:rsid w:val="00733CE0"/>
    <w:rsid w:val="00740FF3"/>
    <w:rsid w:val="00744A3D"/>
    <w:rsid w:val="00756AA5"/>
    <w:rsid w:val="00761BBE"/>
    <w:rsid w:val="00762877"/>
    <w:rsid w:val="00765D16"/>
    <w:rsid w:val="00771B0A"/>
    <w:rsid w:val="007954F1"/>
    <w:rsid w:val="007B35E6"/>
    <w:rsid w:val="007B519C"/>
    <w:rsid w:val="007B5F6D"/>
    <w:rsid w:val="007B6CAE"/>
    <w:rsid w:val="007C5CC7"/>
    <w:rsid w:val="007D26A5"/>
    <w:rsid w:val="007D2E3C"/>
    <w:rsid w:val="007F61B5"/>
    <w:rsid w:val="008062AC"/>
    <w:rsid w:val="00812BE0"/>
    <w:rsid w:val="00816747"/>
    <w:rsid w:val="0081765B"/>
    <w:rsid w:val="00822052"/>
    <w:rsid w:val="00823803"/>
    <w:rsid w:val="0082522D"/>
    <w:rsid w:val="00825745"/>
    <w:rsid w:val="008309AD"/>
    <w:rsid w:val="00830C00"/>
    <w:rsid w:val="00832EE5"/>
    <w:rsid w:val="00836377"/>
    <w:rsid w:val="00837DC9"/>
    <w:rsid w:val="008425A6"/>
    <w:rsid w:val="00846B07"/>
    <w:rsid w:val="00850533"/>
    <w:rsid w:val="00852098"/>
    <w:rsid w:val="00854B79"/>
    <w:rsid w:val="0087010A"/>
    <w:rsid w:val="00871D6D"/>
    <w:rsid w:val="008730D9"/>
    <w:rsid w:val="00883F2C"/>
    <w:rsid w:val="0089050E"/>
    <w:rsid w:val="00896706"/>
    <w:rsid w:val="00896776"/>
    <w:rsid w:val="008A15AA"/>
    <w:rsid w:val="008A1F05"/>
    <w:rsid w:val="008A3FEC"/>
    <w:rsid w:val="008A4FCC"/>
    <w:rsid w:val="008B69A7"/>
    <w:rsid w:val="008B6FE7"/>
    <w:rsid w:val="008C310E"/>
    <w:rsid w:val="008C3A62"/>
    <w:rsid w:val="008C4E8C"/>
    <w:rsid w:val="008D0730"/>
    <w:rsid w:val="008D2371"/>
    <w:rsid w:val="008D2989"/>
    <w:rsid w:val="008D2A58"/>
    <w:rsid w:val="008E42DC"/>
    <w:rsid w:val="008E4732"/>
    <w:rsid w:val="008E573E"/>
    <w:rsid w:val="008E5C3A"/>
    <w:rsid w:val="008E7D59"/>
    <w:rsid w:val="008F0657"/>
    <w:rsid w:val="008F5EC0"/>
    <w:rsid w:val="00903A03"/>
    <w:rsid w:val="00911482"/>
    <w:rsid w:val="009149EA"/>
    <w:rsid w:val="00915007"/>
    <w:rsid w:val="009211A1"/>
    <w:rsid w:val="00930534"/>
    <w:rsid w:val="00937036"/>
    <w:rsid w:val="00946666"/>
    <w:rsid w:val="00946BA6"/>
    <w:rsid w:val="00954797"/>
    <w:rsid w:val="00961B90"/>
    <w:rsid w:val="0096368E"/>
    <w:rsid w:val="00971ACF"/>
    <w:rsid w:val="00973DBB"/>
    <w:rsid w:val="00995182"/>
    <w:rsid w:val="009A4730"/>
    <w:rsid w:val="009A5726"/>
    <w:rsid w:val="009B4D36"/>
    <w:rsid w:val="009B7629"/>
    <w:rsid w:val="009C57E2"/>
    <w:rsid w:val="009C71FB"/>
    <w:rsid w:val="009D069A"/>
    <w:rsid w:val="009E0EF3"/>
    <w:rsid w:val="009F0D47"/>
    <w:rsid w:val="009F1CE5"/>
    <w:rsid w:val="009F208D"/>
    <w:rsid w:val="009F466A"/>
    <w:rsid w:val="009F7276"/>
    <w:rsid w:val="009F79B1"/>
    <w:rsid w:val="00A000F3"/>
    <w:rsid w:val="00A02281"/>
    <w:rsid w:val="00A03017"/>
    <w:rsid w:val="00A037F4"/>
    <w:rsid w:val="00A068CE"/>
    <w:rsid w:val="00A06CB9"/>
    <w:rsid w:val="00A12B9B"/>
    <w:rsid w:val="00A13B72"/>
    <w:rsid w:val="00A14B85"/>
    <w:rsid w:val="00A22662"/>
    <w:rsid w:val="00A240C0"/>
    <w:rsid w:val="00A25554"/>
    <w:rsid w:val="00A269A7"/>
    <w:rsid w:val="00A30E11"/>
    <w:rsid w:val="00A34CD8"/>
    <w:rsid w:val="00A36CDB"/>
    <w:rsid w:val="00A4072E"/>
    <w:rsid w:val="00A440FC"/>
    <w:rsid w:val="00A47D80"/>
    <w:rsid w:val="00A51181"/>
    <w:rsid w:val="00A56BB7"/>
    <w:rsid w:val="00A62EB5"/>
    <w:rsid w:val="00A72101"/>
    <w:rsid w:val="00A76CAE"/>
    <w:rsid w:val="00A818A9"/>
    <w:rsid w:val="00A97FA2"/>
    <w:rsid w:val="00AA486D"/>
    <w:rsid w:val="00AA690C"/>
    <w:rsid w:val="00AB3D74"/>
    <w:rsid w:val="00AC01DC"/>
    <w:rsid w:val="00AC0EDB"/>
    <w:rsid w:val="00AC1911"/>
    <w:rsid w:val="00AC64FC"/>
    <w:rsid w:val="00AD1616"/>
    <w:rsid w:val="00AD54BB"/>
    <w:rsid w:val="00AE5A92"/>
    <w:rsid w:val="00AF03A2"/>
    <w:rsid w:val="00AF5E1D"/>
    <w:rsid w:val="00AF7482"/>
    <w:rsid w:val="00B03D10"/>
    <w:rsid w:val="00B03F88"/>
    <w:rsid w:val="00B43F31"/>
    <w:rsid w:val="00B467B3"/>
    <w:rsid w:val="00B51AE1"/>
    <w:rsid w:val="00B55D10"/>
    <w:rsid w:val="00B57782"/>
    <w:rsid w:val="00B67A10"/>
    <w:rsid w:val="00B70069"/>
    <w:rsid w:val="00B75032"/>
    <w:rsid w:val="00B95947"/>
    <w:rsid w:val="00BA503C"/>
    <w:rsid w:val="00BA571B"/>
    <w:rsid w:val="00BA68C7"/>
    <w:rsid w:val="00BA69AC"/>
    <w:rsid w:val="00BA78EE"/>
    <w:rsid w:val="00BA7BF0"/>
    <w:rsid w:val="00BB1E71"/>
    <w:rsid w:val="00BB6203"/>
    <w:rsid w:val="00BD3109"/>
    <w:rsid w:val="00BD71B1"/>
    <w:rsid w:val="00BF1B98"/>
    <w:rsid w:val="00BF1BEB"/>
    <w:rsid w:val="00BF4D84"/>
    <w:rsid w:val="00BF6A86"/>
    <w:rsid w:val="00C01E33"/>
    <w:rsid w:val="00C05D71"/>
    <w:rsid w:val="00C1087D"/>
    <w:rsid w:val="00C1192B"/>
    <w:rsid w:val="00C14011"/>
    <w:rsid w:val="00C17275"/>
    <w:rsid w:val="00C24BDF"/>
    <w:rsid w:val="00C26F11"/>
    <w:rsid w:val="00C2776B"/>
    <w:rsid w:val="00C33FEC"/>
    <w:rsid w:val="00C36F87"/>
    <w:rsid w:val="00C373D0"/>
    <w:rsid w:val="00C3772E"/>
    <w:rsid w:val="00C41CA7"/>
    <w:rsid w:val="00C42934"/>
    <w:rsid w:val="00C43EDE"/>
    <w:rsid w:val="00C459D6"/>
    <w:rsid w:val="00C46DBE"/>
    <w:rsid w:val="00C54FB3"/>
    <w:rsid w:val="00C80373"/>
    <w:rsid w:val="00C95206"/>
    <w:rsid w:val="00CA06E0"/>
    <w:rsid w:val="00CA2668"/>
    <w:rsid w:val="00CA2A17"/>
    <w:rsid w:val="00CA7349"/>
    <w:rsid w:val="00CA7BCE"/>
    <w:rsid w:val="00CC0006"/>
    <w:rsid w:val="00CC1FCC"/>
    <w:rsid w:val="00CC328D"/>
    <w:rsid w:val="00CC5839"/>
    <w:rsid w:val="00CD213C"/>
    <w:rsid w:val="00CD6667"/>
    <w:rsid w:val="00CF755C"/>
    <w:rsid w:val="00D0260F"/>
    <w:rsid w:val="00D03E1E"/>
    <w:rsid w:val="00D047C1"/>
    <w:rsid w:val="00D11655"/>
    <w:rsid w:val="00D1221D"/>
    <w:rsid w:val="00D131BC"/>
    <w:rsid w:val="00D16AEE"/>
    <w:rsid w:val="00D20F51"/>
    <w:rsid w:val="00D24E3A"/>
    <w:rsid w:val="00D36663"/>
    <w:rsid w:val="00D36699"/>
    <w:rsid w:val="00D378BC"/>
    <w:rsid w:val="00D37E8B"/>
    <w:rsid w:val="00D47240"/>
    <w:rsid w:val="00D4772D"/>
    <w:rsid w:val="00D52455"/>
    <w:rsid w:val="00D524B6"/>
    <w:rsid w:val="00D52E5A"/>
    <w:rsid w:val="00D53780"/>
    <w:rsid w:val="00D552B4"/>
    <w:rsid w:val="00D55B87"/>
    <w:rsid w:val="00D61F12"/>
    <w:rsid w:val="00D64009"/>
    <w:rsid w:val="00D7154A"/>
    <w:rsid w:val="00D71966"/>
    <w:rsid w:val="00D71981"/>
    <w:rsid w:val="00D85938"/>
    <w:rsid w:val="00D878F1"/>
    <w:rsid w:val="00D90B2F"/>
    <w:rsid w:val="00D91970"/>
    <w:rsid w:val="00D95905"/>
    <w:rsid w:val="00DA1514"/>
    <w:rsid w:val="00DB02CD"/>
    <w:rsid w:val="00DB03EF"/>
    <w:rsid w:val="00DB6530"/>
    <w:rsid w:val="00DC78FA"/>
    <w:rsid w:val="00DD1DD1"/>
    <w:rsid w:val="00DD2867"/>
    <w:rsid w:val="00DD429E"/>
    <w:rsid w:val="00DE0827"/>
    <w:rsid w:val="00DE124B"/>
    <w:rsid w:val="00DE4849"/>
    <w:rsid w:val="00DF13A5"/>
    <w:rsid w:val="00DF3A13"/>
    <w:rsid w:val="00DF5EE2"/>
    <w:rsid w:val="00E1195C"/>
    <w:rsid w:val="00E23440"/>
    <w:rsid w:val="00E23A0F"/>
    <w:rsid w:val="00E366C6"/>
    <w:rsid w:val="00E367B7"/>
    <w:rsid w:val="00E37711"/>
    <w:rsid w:val="00E4360B"/>
    <w:rsid w:val="00E46AD5"/>
    <w:rsid w:val="00E550F9"/>
    <w:rsid w:val="00E70695"/>
    <w:rsid w:val="00E735F9"/>
    <w:rsid w:val="00E75151"/>
    <w:rsid w:val="00E762B0"/>
    <w:rsid w:val="00E76D2C"/>
    <w:rsid w:val="00E81681"/>
    <w:rsid w:val="00E8231A"/>
    <w:rsid w:val="00E829AA"/>
    <w:rsid w:val="00E85E7D"/>
    <w:rsid w:val="00E94E4C"/>
    <w:rsid w:val="00EB012D"/>
    <w:rsid w:val="00EB1E5A"/>
    <w:rsid w:val="00EB713E"/>
    <w:rsid w:val="00EB7DEF"/>
    <w:rsid w:val="00EC7C1F"/>
    <w:rsid w:val="00ED0431"/>
    <w:rsid w:val="00ED3A1D"/>
    <w:rsid w:val="00ED603F"/>
    <w:rsid w:val="00ED79E9"/>
    <w:rsid w:val="00EE711A"/>
    <w:rsid w:val="00EF07E1"/>
    <w:rsid w:val="00EF5392"/>
    <w:rsid w:val="00EF71E1"/>
    <w:rsid w:val="00EF79B8"/>
    <w:rsid w:val="00F04842"/>
    <w:rsid w:val="00F0667C"/>
    <w:rsid w:val="00F076FE"/>
    <w:rsid w:val="00F10699"/>
    <w:rsid w:val="00F4014A"/>
    <w:rsid w:val="00F424D4"/>
    <w:rsid w:val="00F46A77"/>
    <w:rsid w:val="00F46F7D"/>
    <w:rsid w:val="00F52D14"/>
    <w:rsid w:val="00F547F3"/>
    <w:rsid w:val="00F56247"/>
    <w:rsid w:val="00F60166"/>
    <w:rsid w:val="00F615B5"/>
    <w:rsid w:val="00F65ADC"/>
    <w:rsid w:val="00F7130E"/>
    <w:rsid w:val="00F72073"/>
    <w:rsid w:val="00F7496E"/>
    <w:rsid w:val="00F74FEF"/>
    <w:rsid w:val="00F87134"/>
    <w:rsid w:val="00F93CF0"/>
    <w:rsid w:val="00FA092D"/>
    <w:rsid w:val="00FA0D13"/>
    <w:rsid w:val="00FB1901"/>
    <w:rsid w:val="00FB4427"/>
    <w:rsid w:val="00FC0979"/>
    <w:rsid w:val="00FD01C5"/>
    <w:rsid w:val="00FD0589"/>
    <w:rsid w:val="00FD0FD1"/>
    <w:rsid w:val="00FD15C4"/>
    <w:rsid w:val="00FD1ED4"/>
    <w:rsid w:val="00FD399B"/>
    <w:rsid w:val="00FD4E61"/>
    <w:rsid w:val="00FD611D"/>
    <w:rsid w:val="00FE1140"/>
    <w:rsid w:val="00FE13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48585"/>
  <w15:chartTrackingRefBased/>
  <w15:docId w15:val="{2465C779-90DD-4F93-965A-309295C0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E71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BB1E7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B1E71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B1E7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B1E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B1E7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B1E7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B1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B1E71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06177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7D2E3C"/>
    <w:rPr>
      <w:color w:val="808080"/>
    </w:rPr>
  </w:style>
  <w:style w:type="paragraph" w:styleId="Revisin">
    <w:name w:val="Revision"/>
    <w:hidden/>
    <w:uiPriority w:val="99"/>
    <w:semiHidden/>
    <w:rsid w:val="008F0657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71D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1D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1D6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D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D6D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6121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femersimir.gob.mx/expedientes/2968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ontacto@campaymendoz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b.mx/cnbv/acciones-y-programas/instituciones-de-tecnologia-financiera-fintec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6085-68C6-4890-9DB6-89D94DCA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2495</Characters>
  <Application>Microsoft Office Word</Application>
  <DocSecurity>0</DocSecurity>
  <Lines>58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Campa Garcia</dc:creator>
  <cp:keywords/>
  <dc:description/>
  <cp:lastModifiedBy>Bernardo Mendoza Ruenes</cp:lastModifiedBy>
  <cp:revision>7</cp:revision>
  <dcterms:created xsi:type="dcterms:W3CDTF">2024-06-26T19:26:00Z</dcterms:created>
  <dcterms:modified xsi:type="dcterms:W3CDTF">2024-06-26T23:14:00Z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00a0c108c6d125e99350e781c1cd277c0988d0f083cb2fb8e3789a1661513cf8</vt:lpwstr>
  </property>
</Properties>
</file>